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C8" w:rsidRDefault="009B45FE" w:rsidP="009B45FE">
      <w:pPr>
        <w:jc w:val="center"/>
        <w:rPr>
          <w:rtl/>
          <w:lang w:bidi="fa-IR"/>
        </w:rPr>
      </w:pPr>
      <w:bookmarkStart w:id="0" w:name="_GoBack"/>
      <w:bookmarkEnd w:id="0"/>
      <w:r>
        <w:rPr>
          <w:rFonts w:hint="cs"/>
          <w:rtl/>
          <w:lang w:bidi="fa-IR"/>
        </w:rPr>
        <w:t>بسمه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تعالی</w:t>
      </w:r>
    </w:p>
    <w:p w:rsidR="009B45FE" w:rsidRDefault="009B45FE" w:rsidP="009B45FE">
      <w:pPr>
        <w:pStyle w:val="Title"/>
        <w:rPr>
          <w:rtl/>
        </w:rPr>
      </w:pPr>
      <w:r>
        <w:rPr>
          <w:rFonts w:hint="cs"/>
          <w:rtl/>
        </w:rPr>
        <w:t>راهبردهای کلان سیاست</w:t>
      </w:r>
      <w:r>
        <w:rPr>
          <w:rtl/>
        </w:rPr>
        <w:softHyphen/>
      </w:r>
      <w:r>
        <w:rPr>
          <w:rFonts w:hint="cs"/>
          <w:rtl/>
        </w:rPr>
        <w:t>های تحول سلامت کشور</w:t>
      </w:r>
    </w:p>
    <w:p w:rsidR="000B17C1" w:rsidRDefault="000B17C1" w:rsidP="009B45FE">
      <w:pPr>
        <w:rPr>
          <w:rtl/>
          <w:lang w:bidi="fa-IR"/>
        </w:rPr>
      </w:pPr>
    </w:p>
    <w:p w:rsidR="009B45FE" w:rsidRDefault="009B45FE" w:rsidP="009B45FE">
      <w:pPr>
        <w:rPr>
          <w:rtl/>
          <w:lang w:bidi="fa-IR"/>
        </w:rPr>
      </w:pPr>
      <w:r>
        <w:rPr>
          <w:rFonts w:hint="cs"/>
          <w:rtl/>
          <w:lang w:bidi="fa-IR"/>
        </w:rPr>
        <w:t>تاریخ تصویب:</w:t>
      </w:r>
      <w:r w:rsidR="000B17C1">
        <w:rPr>
          <w:rFonts w:hint="cs"/>
          <w:rtl/>
          <w:lang w:bidi="fa-IR"/>
        </w:rPr>
        <w:t xml:space="preserve"> 30/10/96</w:t>
      </w:r>
    </w:p>
    <w:p w:rsidR="009B45FE" w:rsidRDefault="009B45FE" w:rsidP="009B45FE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</w:p>
    <w:p w:rsidR="009B45FE" w:rsidRDefault="009B45FE" w:rsidP="00EE6C4A">
      <w:pPr>
        <w:rPr>
          <w:rtl/>
          <w:lang w:bidi="fa-IR"/>
        </w:rPr>
      </w:pPr>
      <w:r>
        <w:rPr>
          <w:rFonts w:hint="cs"/>
          <w:rtl/>
          <w:lang w:bidi="fa-IR"/>
        </w:rPr>
        <w:t>به جهت نظم و سامان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یافتن مصوبات و سیاست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های ابلاغی ستاد</w:t>
      </w:r>
      <w:r w:rsidR="00EE6C4A">
        <w:rPr>
          <w:rFonts w:hint="cs"/>
          <w:rtl/>
          <w:lang w:bidi="fa-IR"/>
        </w:rPr>
        <w:t xml:space="preserve"> تحول سلامت</w:t>
      </w:r>
      <w:r>
        <w:rPr>
          <w:rFonts w:hint="cs"/>
          <w:rtl/>
          <w:lang w:bidi="fa-IR"/>
        </w:rPr>
        <w:t xml:space="preserve"> و در راستای توجه خاص به </w:t>
      </w:r>
      <w:r w:rsidR="0017693C">
        <w:rPr>
          <w:rFonts w:hint="cs"/>
          <w:rtl/>
          <w:lang w:bidi="fa-IR"/>
        </w:rPr>
        <w:t xml:space="preserve">اسناد </w:t>
      </w:r>
      <w:r>
        <w:rPr>
          <w:rFonts w:hint="cs"/>
          <w:rtl/>
          <w:lang w:bidi="fa-IR"/>
        </w:rPr>
        <w:t>بالادستی و راهبردهای کلان سلامت، لازم است تمامی ابلاغ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ها، سیاست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دستورالعمل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 xml:space="preserve">های پیشنهادی، قبل از تصویب با راهبردهای ذیل تطبیق و در صورت </w:t>
      </w:r>
      <w:r w:rsidR="00943F3D">
        <w:rPr>
          <w:rFonts w:hint="cs"/>
          <w:rtl/>
          <w:lang w:bidi="fa-IR"/>
        </w:rPr>
        <w:t xml:space="preserve">مغایرت با </w:t>
      </w:r>
      <w:r>
        <w:rPr>
          <w:rFonts w:hint="cs"/>
          <w:rtl/>
          <w:lang w:bidi="fa-IR"/>
        </w:rPr>
        <w:t>هر یک از این بندها</w:t>
      </w:r>
      <w:r w:rsidR="00EE6C4A">
        <w:rPr>
          <w:rFonts w:hint="cs"/>
          <w:rtl/>
          <w:lang w:bidi="fa-IR"/>
        </w:rPr>
        <w:t>،</w:t>
      </w:r>
      <w:r w:rsidR="00876125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دلایل </w:t>
      </w:r>
      <w:r w:rsidR="00EE6C4A">
        <w:rPr>
          <w:rFonts w:hint="cs"/>
          <w:rtl/>
          <w:lang w:bidi="fa-IR"/>
        </w:rPr>
        <w:t>توجیهی</w:t>
      </w:r>
      <w:r>
        <w:rPr>
          <w:rFonts w:hint="cs"/>
          <w:rtl/>
          <w:lang w:bidi="fa-IR"/>
        </w:rPr>
        <w:t xml:space="preserve"> کافی از سوی پیشنهاددهنده ارایه گردد.</w:t>
      </w:r>
      <w:r w:rsidR="00943F3D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برای اجرایی نمودن این مصوبه دبیرخانه ستاد تحول وظیفه فراهم آوردن ساز و کار پیاده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سازی را بر عهده خواهدداشت.</w:t>
      </w:r>
    </w:p>
    <w:p w:rsidR="009B45FE" w:rsidRDefault="009B45FE" w:rsidP="009B45FE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راهبردهای کلان</w:t>
      </w:r>
    </w:p>
    <w:p w:rsidR="00A4499D" w:rsidRPr="00A4499D" w:rsidRDefault="00A4499D" w:rsidP="0017693C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لازم است تا اثرات </w:t>
      </w:r>
      <w:r w:rsidRPr="00943F3D">
        <w:rPr>
          <w:rFonts w:hint="cs"/>
          <w:b/>
          <w:bCs/>
          <w:u w:val="single"/>
          <w:rtl/>
          <w:lang w:bidi="fa-IR"/>
        </w:rPr>
        <w:t>مستقیم</w:t>
      </w:r>
      <w:r>
        <w:rPr>
          <w:rFonts w:hint="cs"/>
          <w:rtl/>
          <w:lang w:bidi="fa-IR"/>
        </w:rPr>
        <w:t xml:space="preserve"> و </w:t>
      </w:r>
      <w:r w:rsidRPr="00943F3D">
        <w:rPr>
          <w:rFonts w:hint="cs"/>
          <w:b/>
          <w:bCs/>
          <w:u w:val="single"/>
          <w:rtl/>
          <w:lang w:bidi="fa-IR"/>
        </w:rPr>
        <w:t>غیرمستقیم</w:t>
      </w:r>
      <w:r>
        <w:rPr>
          <w:rFonts w:hint="cs"/>
          <w:rtl/>
          <w:lang w:bidi="fa-IR"/>
        </w:rPr>
        <w:t xml:space="preserve"> تصمیمات </w:t>
      </w:r>
      <w:r w:rsidR="0017693C">
        <w:rPr>
          <w:rFonts w:hint="cs"/>
          <w:rtl/>
          <w:lang w:bidi="fa-IR"/>
        </w:rPr>
        <w:t>بر هر یک از موارد ذیل سنجیده و تحلیل گردد</w:t>
      </w:r>
      <w:r w:rsidR="00EE6C4A">
        <w:rPr>
          <w:rFonts w:hint="cs"/>
          <w:rtl/>
          <w:lang w:bidi="fa-IR"/>
        </w:rPr>
        <w:t>.</w:t>
      </w:r>
    </w:p>
    <w:p w:rsidR="00943F3D" w:rsidRDefault="00FC5B2B" w:rsidP="00943F3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تقویت حفاظت مالی مردم(</w:t>
      </w:r>
      <w:r w:rsidR="000D4501">
        <w:rPr>
          <w:rFonts w:hint="cs"/>
          <w:rtl/>
          <w:lang w:bidi="fa-IR"/>
        </w:rPr>
        <w:t xml:space="preserve">تخمین اثر اجرای راهبرد بر </w:t>
      </w:r>
      <w:r>
        <w:rPr>
          <w:rFonts w:hint="cs"/>
          <w:rtl/>
          <w:lang w:bidi="fa-IR"/>
        </w:rPr>
        <w:t>کاهش پرداخت از جیب، کاهش خانوارهای مواجه با هزینه های فاجعه بار و..)</w:t>
      </w:r>
    </w:p>
    <w:p w:rsidR="00FC5B2B" w:rsidRPr="00A4499D" w:rsidRDefault="00FC5B2B" w:rsidP="00943F3D">
      <w:pPr>
        <w:pStyle w:val="ListParagraph"/>
        <w:numPr>
          <w:ilvl w:val="0"/>
          <w:numId w:val="1"/>
        </w:numPr>
        <w:rPr>
          <w:rtl/>
          <w:lang w:bidi="fa-IR"/>
        </w:rPr>
      </w:pPr>
      <w:r>
        <w:rPr>
          <w:rFonts w:hint="cs"/>
          <w:rtl/>
          <w:lang w:bidi="fa-IR"/>
        </w:rPr>
        <w:t>بهبود کارآیی نظام سلامت(</w:t>
      </w:r>
      <w:r w:rsidR="000D4501">
        <w:rPr>
          <w:rFonts w:hint="cs"/>
          <w:rtl/>
          <w:lang w:bidi="fa-IR"/>
        </w:rPr>
        <w:t xml:space="preserve">برآورد اثر اجرای راهبرد بر ارتقای کلی سلامت و </w:t>
      </w:r>
      <w:r>
        <w:rPr>
          <w:rFonts w:hint="cs"/>
          <w:rtl/>
          <w:lang w:bidi="fa-IR"/>
        </w:rPr>
        <w:t>تحقق بروندادهای مورد انتظار یا مطلوب با بکارگیری حداقل منابع)</w:t>
      </w:r>
    </w:p>
    <w:p w:rsidR="00943F3D" w:rsidRDefault="00943F3D" w:rsidP="00FC5B2B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پایایی و ثبات در اجرا</w:t>
      </w:r>
      <w:r w:rsidR="003B7A98">
        <w:rPr>
          <w:rFonts w:hint="cs"/>
          <w:rtl/>
          <w:lang w:bidi="fa-IR"/>
        </w:rPr>
        <w:t xml:space="preserve"> </w:t>
      </w:r>
      <w:r w:rsidR="00FC5B2B">
        <w:rPr>
          <w:rFonts w:hint="cs"/>
          <w:rtl/>
          <w:lang w:bidi="fa-IR"/>
        </w:rPr>
        <w:t>(تضمین نسبی مبنی بر تغییر ناپذیری سیاست در کوتاه مدت و پیش‌بینی کمترین مقاومت)</w:t>
      </w:r>
    </w:p>
    <w:p w:rsidR="00943F3D" w:rsidRDefault="00943F3D" w:rsidP="00943F3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مشارکت حداکثری</w:t>
      </w:r>
      <w:r w:rsidR="00EE6C4A">
        <w:rPr>
          <w:rFonts w:hint="cs"/>
          <w:rtl/>
          <w:lang w:bidi="fa-IR"/>
        </w:rPr>
        <w:t xml:space="preserve"> ذی‌نفعان</w:t>
      </w:r>
      <w:r w:rsidR="00FC5B2B">
        <w:rPr>
          <w:rFonts w:hint="cs"/>
          <w:rtl/>
          <w:lang w:bidi="fa-IR"/>
        </w:rPr>
        <w:t>(تضمین نسبی مبنی بر مشارکت ذی‌نفعان در تدوین و اجرای راهبرد)</w:t>
      </w:r>
    </w:p>
    <w:p w:rsidR="00943F3D" w:rsidRDefault="00943F3D" w:rsidP="00943F3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کیفیت ارایه خدمت در سطح جامعه</w:t>
      </w:r>
      <w:r w:rsidR="00FC5B2B">
        <w:rPr>
          <w:rFonts w:hint="cs"/>
          <w:rtl/>
          <w:lang w:bidi="fa-IR"/>
        </w:rPr>
        <w:t>(میزان اثر مثبت یا منفی اجرای راهبرد در کیفیت ارایه خدمات)</w:t>
      </w:r>
    </w:p>
    <w:p w:rsidR="00943F3D" w:rsidRDefault="00943F3D" w:rsidP="00943F3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پیشگیری و کاهش زمینه بروز بیماری</w:t>
      </w:r>
      <w:r>
        <w:rPr>
          <w:rtl/>
          <w:lang w:bidi="fa-IR"/>
        </w:rPr>
        <w:softHyphen/>
      </w:r>
      <w:r>
        <w:rPr>
          <w:rFonts w:hint="cs"/>
          <w:rtl/>
          <w:lang w:bidi="fa-IR"/>
        </w:rPr>
        <w:t>ها و یا ارایه خدمات درمانی در اول زمان ممکن و با کمترین هزینه</w:t>
      </w:r>
      <w:r w:rsidR="00FC5B2B">
        <w:rPr>
          <w:rFonts w:hint="cs"/>
          <w:rtl/>
          <w:lang w:bidi="fa-IR"/>
        </w:rPr>
        <w:t>(تخمین اثر اجرای راهبرد بر توسعه خدمات پیشگیری و ارتقایی سلامت بمنظور کاهش مواجهه با پیامدهای بیماری)</w:t>
      </w:r>
    </w:p>
    <w:p w:rsidR="00A4499D" w:rsidRDefault="0017693C" w:rsidP="004A2A60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میزان</w:t>
      </w:r>
      <w:r w:rsidR="00A4499D">
        <w:rPr>
          <w:rFonts w:hint="cs"/>
          <w:rtl/>
          <w:lang w:bidi="fa-IR"/>
        </w:rPr>
        <w:t xml:space="preserve"> نابرابری</w:t>
      </w:r>
      <w:r w:rsidR="00A4499D">
        <w:rPr>
          <w:rtl/>
          <w:lang w:bidi="fa-IR"/>
        </w:rPr>
        <w:softHyphen/>
      </w:r>
      <w:r w:rsidR="00A4499D">
        <w:rPr>
          <w:rFonts w:hint="cs"/>
          <w:rtl/>
          <w:lang w:bidi="fa-IR"/>
        </w:rPr>
        <w:t xml:space="preserve">ها در سطح کلان منطقه و کشور </w:t>
      </w:r>
      <w:r w:rsidR="00FC5B2B">
        <w:rPr>
          <w:rFonts w:hint="cs"/>
          <w:rtl/>
          <w:lang w:bidi="fa-IR"/>
        </w:rPr>
        <w:t xml:space="preserve">(تخمین میزان اثر اجرای راهبرد بر کاهش نابرابری‌ها و </w:t>
      </w:r>
      <w:r w:rsidR="004A2A60">
        <w:rPr>
          <w:rFonts w:hint="cs"/>
          <w:rtl/>
          <w:lang w:bidi="fa-IR"/>
        </w:rPr>
        <w:t>نیز اثر بر احقاق حقوق مردم</w:t>
      </w:r>
      <w:r w:rsidR="00FC5B2B">
        <w:rPr>
          <w:rFonts w:hint="cs"/>
          <w:rtl/>
          <w:lang w:bidi="fa-IR"/>
        </w:rPr>
        <w:t>)</w:t>
      </w:r>
    </w:p>
    <w:p w:rsidR="00A4499D" w:rsidRDefault="00943F3D" w:rsidP="00943F3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انطباق با قوانین و مقررات مالی و اداری و مصوبات بالادستی و همچنین هیئت امناها</w:t>
      </w:r>
      <w:r w:rsidR="004A2A60">
        <w:rPr>
          <w:rFonts w:hint="cs"/>
          <w:rtl/>
          <w:lang w:bidi="fa-IR"/>
        </w:rPr>
        <w:t>(بررسی تطبیق راهبرد با قوانین جاری و مصوبات بالادستی)</w:t>
      </w:r>
    </w:p>
    <w:p w:rsidR="00A4499D" w:rsidRDefault="00A4499D" w:rsidP="003B7A98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lastRenderedPageBreak/>
        <w:t>تفاوت دریافتی زیرگروه</w:t>
      </w:r>
      <w:r>
        <w:rPr>
          <w:rtl/>
          <w:lang w:bidi="fa-IR"/>
        </w:rPr>
        <w:softHyphen/>
      </w:r>
      <w:r w:rsidR="0017693C">
        <w:rPr>
          <w:rFonts w:hint="cs"/>
          <w:rtl/>
          <w:lang w:bidi="fa-IR"/>
        </w:rPr>
        <w:t>های مختلف حوزه سلامت (</w:t>
      </w:r>
      <w:r w:rsidR="004A2A60">
        <w:rPr>
          <w:rFonts w:hint="cs"/>
          <w:rtl/>
          <w:lang w:bidi="fa-IR"/>
        </w:rPr>
        <w:t xml:space="preserve">تخمین اثر اجرای راهبرد بر ایجاد عدالت پرداخت </w:t>
      </w:r>
      <w:r w:rsidR="0017693C">
        <w:rPr>
          <w:rFonts w:hint="cs"/>
          <w:rtl/>
          <w:lang w:bidi="fa-IR"/>
        </w:rPr>
        <w:t>بین پزشکان متخصص در رشته</w:t>
      </w:r>
      <w:r w:rsidR="0017693C">
        <w:rPr>
          <w:rtl/>
          <w:lang w:bidi="fa-IR"/>
        </w:rPr>
        <w:softHyphen/>
      </w:r>
      <w:r w:rsidR="0017693C">
        <w:rPr>
          <w:rFonts w:hint="cs"/>
          <w:rtl/>
          <w:lang w:bidi="fa-IR"/>
        </w:rPr>
        <w:t>های مختلف</w:t>
      </w:r>
      <w:r w:rsidR="00943F3D">
        <w:rPr>
          <w:rFonts w:hint="cs"/>
          <w:rtl/>
          <w:lang w:bidi="fa-IR"/>
        </w:rPr>
        <w:t>، در بخش دولتی و خصوصی</w:t>
      </w:r>
      <w:r w:rsidR="0017693C">
        <w:rPr>
          <w:rFonts w:hint="cs"/>
          <w:rtl/>
          <w:lang w:bidi="fa-IR"/>
        </w:rPr>
        <w:t xml:space="preserve"> و همچنین دریافتی پزشکان متخصص </w:t>
      </w:r>
      <w:r w:rsidR="00943F3D">
        <w:rPr>
          <w:rFonts w:hint="cs"/>
          <w:rtl/>
          <w:lang w:bidi="fa-IR"/>
        </w:rPr>
        <w:t>در مقایسه با پزشکان</w:t>
      </w:r>
      <w:r w:rsidR="0017693C">
        <w:rPr>
          <w:rFonts w:hint="cs"/>
          <w:rtl/>
          <w:lang w:bidi="fa-IR"/>
        </w:rPr>
        <w:t xml:space="preserve"> عمومی و سایر پرسنل ارایه دهنده خدمات؛ همچنین هیئت علمی علوم پایه و بالینی)</w:t>
      </w:r>
    </w:p>
    <w:p w:rsidR="0017693C" w:rsidRDefault="004A2A60" w:rsidP="004A2A60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درآمدها و </w:t>
      </w:r>
      <w:r w:rsidR="0017693C">
        <w:rPr>
          <w:rFonts w:hint="cs"/>
          <w:rtl/>
          <w:lang w:bidi="fa-IR"/>
        </w:rPr>
        <w:t>هزینه</w:t>
      </w:r>
      <w:r w:rsidR="0017693C">
        <w:rPr>
          <w:rtl/>
          <w:lang w:bidi="fa-IR"/>
        </w:rPr>
        <w:softHyphen/>
      </w:r>
      <w:r w:rsidR="0017693C">
        <w:rPr>
          <w:rFonts w:hint="cs"/>
          <w:rtl/>
          <w:lang w:bidi="fa-IR"/>
        </w:rPr>
        <w:t>های سلامت در سطح خرد (درون یک بیمارستان و یا شبکه)، متوسط (دانشکده یا دانشگاه) و کلان (کل کشور) و در کوتاه و بلندمدت</w:t>
      </w:r>
      <w:r>
        <w:rPr>
          <w:rFonts w:hint="cs"/>
          <w:rtl/>
          <w:lang w:bidi="fa-IR"/>
        </w:rPr>
        <w:t>(تخمین اثر اجرای راهبرد بر کاهش هزینه‌های سلامت و یا افزایش درآمدها)</w:t>
      </w:r>
    </w:p>
    <w:p w:rsidR="00943F3D" w:rsidRDefault="0017693C" w:rsidP="00943F3D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 xml:space="preserve">ایجاد </w:t>
      </w:r>
      <w:r w:rsidR="00943F3D">
        <w:rPr>
          <w:rFonts w:hint="cs"/>
          <w:rtl/>
          <w:lang w:bidi="fa-IR"/>
        </w:rPr>
        <w:t>تقاضاهای</w:t>
      </w:r>
      <w:r>
        <w:rPr>
          <w:rFonts w:hint="cs"/>
          <w:rtl/>
          <w:lang w:bidi="fa-IR"/>
        </w:rPr>
        <w:t xml:space="preserve"> القایی و یا </w:t>
      </w:r>
      <w:r w:rsidR="00943F3D">
        <w:rPr>
          <w:rFonts w:hint="cs"/>
          <w:rtl/>
          <w:lang w:bidi="fa-IR"/>
        </w:rPr>
        <w:t xml:space="preserve">خدمات </w:t>
      </w:r>
      <w:r>
        <w:rPr>
          <w:rFonts w:hint="cs"/>
          <w:rtl/>
          <w:lang w:bidi="fa-IR"/>
        </w:rPr>
        <w:t xml:space="preserve">با </w:t>
      </w:r>
      <w:r w:rsidR="00943F3D">
        <w:rPr>
          <w:rFonts w:hint="cs"/>
          <w:rtl/>
          <w:lang w:bidi="fa-IR"/>
        </w:rPr>
        <w:t xml:space="preserve">اولویت </w:t>
      </w:r>
      <w:r>
        <w:rPr>
          <w:rFonts w:hint="cs"/>
          <w:rtl/>
          <w:lang w:bidi="fa-IR"/>
        </w:rPr>
        <w:t>پایین</w:t>
      </w:r>
      <w:r w:rsidR="00EE6C4A">
        <w:rPr>
          <w:rFonts w:hint="cs"/>
          <w:rtl/>
          <w:lang w:bidi="fa-IR"/>
        </w:rPr>
        <w:t>(</w:t>
      </w:r>
      <w:r w:rsidR="004A2A60">
        <w:rPr>
          <w:rFonts w:hint="cs"/>
          <w:rtl/>
          <w:lang w:bidi="fa-IR"/>
        </w:rPr>
        <w:t xml:space="preserve">تخمین اثر راهبرد بر کاهش یا افزایش تقاضای القایی، انتخاب معکوس </w:t>
      </w:r>
      <w:r w:rsidR="00EE6C4A">
        <w:rPr>
          <w:rFonts w:hint="cs"/>
          <w:rtl/>
          <w:lang w:bidi="fa-IR"/>
        </w:rPr>
        <w:t>یا سایر مخاطرات اخلاقی)</w:t>
      </w:r>
    </w:p>
    <w:p w:rsidR="00A61324" w:rsidRDefault="00A61324" w:rsidP="00A61324">
      <w:pPr>
        <w:rPr>
          <w:rtl/>
          <w:lang w:bidi="fa-IR"/>
        </w:rPr>
      </w:pPr>
    </w:p>
    <w:p w:rsidR="00A61324" w:rsidRDefault="00A61324" w:rsidP="00A61324">
      <w:pPr>
        <w:rPr>
          <w:rtl/>
          <w:lang w:bidi="fa-IR"/>
        </w:rPr>
        <w:sectPr w:rsidR="00A61324" w:rsidSect="0017693C">
          <w:pgSz w:w="12240" w:h="15840"/>
          <w:pgMar w:top="1440" w:right="1440" w:bottom="1134" w:left="1134" w:header="720" w:footer="720" w:gutter="0"/>
          <w:cols w:space="720"/>
          <w:docGrid w:linePitch="360"/>
        </w:sectPr>
      </w:pPr>
    </w:p>
    <w:p w:rsidR="0017693C" w:rsidRDefault="00A61324" w:rsidP="00A61324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پیوست</w:t>
      </w:r>
    </w:p>
    <w:p w:rsidR="00A61324" w:rsidRDefault="00A61324" w:rsidP="00C2320B">
      <w:pPr>
        <w:rPr>
          <w:rtl/>
          <w:lang w:bidi="fa-IR"/>
        </w:rPr>
      </w:pPr>
      <w:r>
        <w:rPr>
          <w:rFonts w:hint="cs"/>
          <w:rtl/>
          <w:lang w:bidi="fa-IR"/>
        </w:rPr>
        <w:t>لازم است برای هر مصوبه جدول ذیل تکمیل و به همراه متن برای تصویب به دبیرخانه ستاد</w:t>
      </w:r>
      <w:r w:rsidR="00C2320B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تحول ارایه </w:t>
      </w:r>
      <w:r w:rsidR="00C2320B">
        <w:rPr>
          <w:rFonts w:hint="cs"/>
          <w:rtl/>
          <w:lang w:bidi="fa-IR"/>
        </w:rPr>
        <w:t>گ</w:t>
      </w:r>
      <w:r>
        <w:rPr>
          <w:rFonts w:hint="cs"/>
          <w:rtl/>
          <w:lang w:bidi="fa-IR"/>
        </w:rPr>
        <w:t>ردد</w:t>
      </w:r>
      <w:r w:rsidR="005F20EE">
        <w:rPr>
          <w:rFonts w:hint="cs"/>
          <w:rtl/>
          <w:lang w:bidi="fa-IR"/>
        </w:rPr>
        <w:t>.</w:t>
      </w:r>
    </w:p>
    <w:tbl>
      <w:tblPr>
        <w:tblStyle w:val="TableGrid"/>
        <w:bidiVisual/>
        <w:tblW w:w="13603" w:type="dxa"/>
        <w:jc w:val="center"/>
        <w:tblLook w:val="04A0" w:firstRow="1" w:lastRow="0" w:firstColumn="1" w:lastColumn="0" w:noHBand="0" w:noVBand="1"/>
      </w:tblPr>
      <w:tblGrid>
        <w:gridCol w:w="1839"/>
        <w:gridCol w:w="1843"/>
        <w:gridCol w:w="7371"/>
        <w:gridCol w:w="2550"/>
      </w:tblGrid>
      <w:tr w:rsidR="00A61324" w:rsidRPr="004C7607" w:rsidTr="00B8630B">
        <w:trPr>
          <w:trHeight w:val="1134"/>
          <w:tblHeader/>
          <w:jc w:val="center"/>
        </w:trPr>
        <w:tc>
          <w:tcPr>
            <w:tcW w:w="1839" w:type="dxa"/>
            <w:shd w:val="clear" w:color="auto" w:fill="D9D9D9" w:themeFill="background1" w:themeFillShade="D9"/>
            <w:vAlign w:val="center"/>
          </w:tcPr>
          <w:p w:rsidR="00A61324" w:rsidRPr="000240BC" w:rsidRDefault="00A61324" w:rsidP="00A61324">
            <w:pPr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موضوع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1324" w:rsidRPr="000240BC" w:rsidRDefault="00A61324" w:rsidP="00A61324">
            <w:pPr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نوع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اثر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(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بدون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اثر،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اثرمثبت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یا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منفی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>)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A61324" w:rsidRPr="000240BC" w:rsidRDefault="00A61324" w:rsidP="00B8630B">
            <w:pPr>
              <w:jc w:val="center"/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توجیهات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ارایه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دهنده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پیشنهاد</w:t>
            </w:r>
          </w:p>
        </w:tc>
        <w:tc>
          <w:tcPr>
            <w:tcW w:w="2550" w:type="dxa"/>
            <w:shd w:val="clear" w:color="auto" w:fill="D9D9D9" w:themeFill="background1" w:themeFillShade="D9"/>
            <w:vAlign w:val="center"/>
          </w:tcPr>
          <w:p w:rsidR="00A61324" w:rsidRPr="000240BC" w:rsidRDefault="00A61324" w:rsidP="00A61324">
            <w:pPr>
              <w:rPr>
                <w:b/>
                <w:bCs/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تایید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یا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توجیه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ستاد</w:t>
            </w:r>
            <w:r w:rsidRPr="000240BC">
              <w:rPr>
                <w:b/>
                <w:bCs/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b/>
                <w:bCs/>
                <w:sz w:val="20"/>
                <w:szCs w:val="24"/>
                <w:rtl/>
                <w:lang w:bidi="fa-IR"/>
              </w:rPr>
              <w:t>تحول</w:t>
            </w: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0D4501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تقویت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حفاظت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مالی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مردم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F67C9E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F67C9E" w:rsidRPr="000240BC" w:rsidRDefault="00F67C9E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بهبود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کارآیی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نظام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سلامت</w:t>
            </w:r>
          </w:p>
        </w:tc>
        <w:tc>
          <w:tcPr>
            <w:tcW w:w="1843" w:type="dxa"/>
            <w:vAlign w:val="center"/>
          </w:tcPr>
          <w:p w:rsidR="00F67C9E" w:rsidRPr="000240BC" w:rsidRDefault="00F67C9E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F67C9E" w:rsidRPr="000240BC" w:rsidRDefault="00F67C9E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F67C9E" w:rsidRPr="000240BC" w:rsidRDefault="00F67C9E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پایایی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ثبات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اجرا</w:t>
            </w:r>
          </w:p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مشارکت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حداکثری</w:t>
            </w:r>
            <w:r w:rsidR="00E91ACF"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="00E91ACF" w:rsidRPr="000240BC">
              <w:rPr>
                <w:rFonts w:hint="cs"/>
                <w:sz w:val="20"/>
                <w:szCs w:val="24"/>
                <w:rtl/>
                <w:lang w:bidi="fa-IR"/>
              </w:rPr>
              <w:t>ذی‌نفعان</w:t>
            </w:r>
          </w:p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کیفیت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ارایه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خدمت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سطح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جامعه</w:t>
            </w:r>
          </w:p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lastRenderedPageBreak/>
              <w:t>توجه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به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پیشگیری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درمان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اولین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زمان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ممکن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نابرابری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سطح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کشور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کلان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منطقه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انطباق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با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قوانین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مقررات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مالی</w:t>
            </w:r>
            <w:r w:rsidR="000240BC">
              <w:rPr>
                <w:rFonts w:hint="cs"/>
                <w:sz w:val="20"/>
                <w:szCs w:val="24"/>
                <w:rtl/>
                <w:lang w:bidi="fa-IR"/>
              </w:rPr>
              <w:t xml:space="preserve">،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اداری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مصوبات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هیئت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امنا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تفاوت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دریافتی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زیرگروه</w:t>
            </w:r>
            <w:r w:rsidRPr="000240BC">
              <w:rPr>
                <w:sz w:val="20"/>
                <w:szCs w:val="24"/>
                <w:rtl/>
                <w:lang w:bidi="fa-IR"/>
              </w:rPr>
              <w:softHyphen/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های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مختلف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حوزه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سلامت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B8630B">
        <w:trPr>
          <w:trHeight w:val="1531"/>
          <w:jc w:val="center"/>
        </w:trPr>
        <w:tc>
          <w:tcPr>
            <w:tcW w:w="1839" w:type="dxa"/>
            <w:vAlign w:val="center"/>
          </w:tcPr>
          <w:p w:rsidR="00A61324" w:rsidRPr="000240BC" w:rsidRDefault="00E91ACF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درآمدها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="00A61324" w:rsidRPr="000240BC">
              <w:rPr>
                <w:rFonts w:hint="cs"/>
                <w:sz w:val="20"/>
                <w:szCs w:val="24"/>
                <w:rtl/>
                <w:lang w:bidi="fa-IR"/>
              </w:rPr>
              <w:t>هزینه</w:t>
            </w:r>
            <w:r w:rsidR="00A61324" w:rsidRPr="000240BC">
              <w:rPr>
                <w:sz w:val="20"/>
                <w:szCs w:val="24"/>
                <w:rtl/>
                <w:lang w:bidi="fa-IR"/>
              </w:rPr>
              <w:softHyphen/>
            </w:r>
            <w:r w:rsidR="00A61324" w:rsidRPr="000240BC">
              <w:rPr>
                <w:rFonts w:hint="cs"/>
                <w:sz w:val="20"/>
                <w:szCs w:val="24"/>
                <w:rtl/>
                <w:lang w:bidi="fa-IR"/>
              </w:rPr>
              <w:t>های</w:t>
            </w:r>
            <w:r w:rsidR="00A61324"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="00A61324" w:rsidRPr="000240BC">
              <w:rPr>
                <w:rFonts w:hint="cs"/>
                <w:sz w:val="20"/>
                <w:szCs w:val="24"/>
                <w:rtl/>
                <w:lang w:bidi="fa-IR"/>
              </w:rPr>
              <w:t>خرد</w:t>
            </w:r>
            <w:r w:rsidR="00A61324"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="00A61324" w:rsidRPr="000240BC">
              <w:rPr>
                <w:rFonts w:hint="cs"/>
                <w:sz w:val="20"/>
                <w:szCs w:val="24"/>
                <w:rtl/>
                <w:lang w:bidi="fa-IR"/>
              </w:rPr>
              <w:t>و</w:t>
            </w:r>
            <w:r w:rsidR="00A61324"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="00A61324" w:rsidRPr="000240BC">
              <w:rPr>
                <w:rFonts w:hint="cs"/>
                <w:sz w:val="20"/>
                <w:szCs w:val="24"/>
                <w:rtl/>
                <w:lang w:bidi="fa-IR"/>
              </w:rPr>
              <w:t>کلان</w:t>
            </w:r>
            <w:r w:rsidR="00A61324"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="00A61324" w:rsidRPr="000240BC">
              <w:rPr>
                <w:rFonts w:hint="cs"/>
                <w:sz w:val="20"/>
                <w:szCs w:val="24"/>
                <w:rtl/>
                <w:lang w:bidi="fa-IR"/>
              </w:rPr>
              <w:t>سلامت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  <w:tr w:rsidR="00A61324" w:rsidRPr="004C7607" w:rsidTr="000240BC">
        <w:trPr>
          <w:trHeight w:val="1130"/>
          <w:jc w:val="center"/>
        </w:trPr>
        <w:tc>
          <w:tcPr>
            <w:tcW w:w="1839" w:type="dxa"/>
            <w:vAlign w:val="center"/>
          </w:tcPr>
          <w:p w:rsidR="00A61324" w:rsidRPr="000240BC" w:rsidRDefault="00A61324" w:rsidP="000240BC">
            <w:pPr>
              <w:jc w:val="left"/>
              <w:rPr>
                <w:sz w:val="20"/>
                <w:szCs w:val="24"/>
                <w:rtl/>
                <w:lang w:bidi="fa-IR"/>
              </w:rPr>
            </w:pP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ایجاد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تقاضای</w:t>
            </w:r>
            <w:r w:rsidRPr="000240BC">
              <w:rPr>
                <w:sz w:val="20"/>
                <w:szCs w:val="24"/>
                <w:rtl/>
                <w:lang w:bidi="fa-IR"/>
              </w:rPr>
              <w:t xml:space="preserve"> </w:t>
            </w:r>
            <w:r w:rsidRPr="000240BC">
              <w:rPr>
                <w:rFonts w:hint="cs"/>
                <w:sz w:val="20"/>
                <w:szCs w:val="24"/>
                <w:rtl/>
                <w:lang w:bidi="fa-IR"/>
              </w:rPr>
              <w:t>القایی</w:t>
            </w:r>
          </w:p>
        </w:tc>
        <w:tc>
          <w:tcPr>
            <w:tcW w:w="1843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7371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  <w:tc>
          <w:tcPr>
            <w:tcW w:w="2550" w:type="dxa"/>
            <w:vAlign w:val="center"/>
          </w:tcPr>
          <w:p w:rsidR="00A61324" w:rsidRPr="000240BC" w:rsidRDefault="00A61324" w:rsidP="00A61324">
            <w:pPr>
              <w:rPr>
                <w:sz w:val="20"/>
                <w:szCs w:val="24"/>
                <w:rtl/>
                <w:lang w:bidi="fa-IR"/>
              </w:rPr>
            </w:pPr>
          </w:p>
        </w:tc>
      </w:tr>
    </w:tbl>
    <w:p w:rsidR="00A61324" w:rsidRPr="009B45FE" w:rsidRDefault="00A61324" w:rsidP="004C7607">
      <w:pPr>
        <w:rPr>
          <w:rtl/>
          <w:lang w:bidi="fa-IR"/>
        </w:rPr>
      </w:pPr>
    </w:p>
    <w:sectPr w:rsidR="00A61324" w:rsidRPr="009B45FE" w:rsidSect="00B8630B">
      <w:pgSz w:w="15840" w:h="12240" w:orient="landscape"/>
      <w:pgMar w:top="993" w:right="1440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F"/>
    <w:multiLevelType w:val="hybridMultilevel"/>
    <w:tmpl w:val="E478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7CAA"/>
    <w:multiLevelType w:val="hybridMultilevel"/>
    <w:tmpl w:val="7794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B5C6D"/>
    <w:multiLevelType w:val="hybridMultilevel"/>
    <w:tmpl w:val="7794F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5FE"/>
    <w:rsid w:val="000240BC"/>
    <w:rsid w:val="000B17C1"/>
    <w:rsid w:val="000D4501"/>
    <w:rsid w:val="0017693C"/>
    <w:rsid w:val="00253E9D"/>
    <w:rsid w:val="0038012B"/>
    <w:rsid w:val="00395F2F"/>
    <w:rsid w:val="003B7A98"/>
    <w:rsid w:val="004A2A60"/>
    <w:rsid w:val="004C7607"/>
    <w:rsid w:val="005211A8"/>
    <w:rsid w:val="005F20EE"/>
    <w:rsid w:val="006F07C8"/>
    <w:rsid w:val="0076139C"/>
    <w:rsid w:val="007F1261"/>
    <w:rsid w:val="0084504A"/>
    <w:rsid w:val="00876125"/>
    <w:rsid w:val="00943F3D"/>
    <w:rsid w:val="009B45FE"/>
    <w:rsid w:val="00A24921"/>
    <w:rsid w:val="00A4499D"/>
    <w:rsid w:val="00A61324"/>
    <w:rsid w:val="00A96A48"/>
    <w:rsid w:val="00B8630B"/>
    <w:rsid w:val="00C2320B"/>
    <w:rsid w:val="00E51471"/>
    <w:rsid w:val="00E54B0A"/>
    <w:rsid w:val="00E91ACF"/>
    <w:rsid w:val="00EE6C4A"/>
    <w:rsid w:val="00F53E15"/>
    <w:rsid w:val="00F67C9E"/>
    <w:rsid w:val="00FC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15"/>
    <w:pPr>
      <w:bidi/>
      <w:spacing w:after="120"/>
      <w:jc w:val="both"/>
    </w:pPr>
    <w:rPr>
      <w:rFonts w:cs="B Lotu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E15"/>
    <w:pPr>
      <w:keepNext/>
      <w:keepLines/>
      <w:spacing w:before="360"/>
      <w:ind w:left="720"/>
      <w:outlineLvl w:val="0"/>
    </w:pPr>
    <w:rPr>
      <w:rFonts w:ascii="B Titr" w:eastAsiaTheme="majorEastAsia" w:hAnsi="B Titr" w:cs="B Titr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4A"/>
    <w:pPr>
      <w:keepNext/>
      <w:keepLines/>
      <w:spacing w:before="360"/>
      <w:ind w:left="1009"/>
      <w:outlineLvl w:val="1"/>
    </w:pPr>
    <w:rPr>
      <w:rFonts w:asciiTheme="majorHAnsi" w:eastAsiaTheme="majorEastAsia" w:hAnsiTheme="majorHAnsi" w:cs="B Traffic"/>
      <w:color w:val="000000" w:themeColor="text1"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8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="B Koodak"/>
      <w:b/>
      <w:bCs/>
      <w:color w:val="0D0D0D" w:themeColor="text1" w:themeTint="F2"/>
      <w:sz w:val="28"/>
      <w:szCs w:val="24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E15"/>
    <w:rPr>
      <w:rFonts w:ascii="B Titr" w:eastAsiaTheme="majorEastAsia" w:hAnsi="B Titr" w:cs="B Titr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1A8"/>
    <w:rPr>
      <w:rFonts w:asciiTheme="majorHAnsi" w:eastAsiaTheme="majorEastAsia" w:hAnsiTheme="majorHAnsi" w:cs="B Koodak"/>
      <w:b/>
      <w:bCs/>
      <w:color w:val="0D0D0D" w:themeColor="text1" w:themeTint="F2"/>
      <w:sz w:val="28"/>
      <w:szCs w:val="24"/>
      <w:u w:val="single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4504A"/>
    <w:rPr>
      <w:rFonts w:asciiTheme="majorHAnsi" w:eastAsiaTheme="majorEastAsia" w:hAnsiTheme="majorHAnsi" w:cs="B Traffic"/>
      <w:color w:val="000000" w:themeColor="text1"/>
      <w:sz w:val="26"/>
      <w:szCs w:val="2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E51471"/>
    <w:pPr>
      <w:spacing w:after="0" w:line="240" w:lineRule="auto"/>
      <w:contextualSpacing/>
      <w:jc w:val="center"/>
    </w:pPr>
    <w:rPr>
      <w:rFonts w:asciiTheme="majorHAnsi" w:eastAsiaTheme="majorEastAsia" w:hAnsiTheme="majorHAnsi" w:cs="B Titr"/>
      <w:spacing w:val="-10"/>
      <w:kern w:val="28"/>
      <w:sz w:val="40"/>
      <w:szCs w:val="4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E51471"/>
    <w:rPr>
      <w:rFonts w:asciiTheme="majorHAnsi" w:eastAsiaTheme="majorEastAsia" w:hAnsiTheme="majorHAnsi" w:cs="B Titr"/>
      <w:spacing w:val="-10"/>
      <w:kern w:val="28"/>
      <w:sz w:val="40"/>
      <w:szCs w:val="40"/>
      <w:lang w:bidi="fa-IR"/>
    </w:rPr>
  </w:style>
  <w:style w:type="paragraph" w:styleId="ListParagraph">
    <w:name w:val="List Paragraph"/>
    <w:basedOn w:val="Normal"/>
    <w:uiPriority w:val="34"/>
    <w:qFormat/>
    <w:rsid w:val="00A4499D"/>
    <w:pPr>
      <w:ind w:left="720"/>
      <w:contextualSpacing/>
    </w:pPr>
  </w:style>
  <w:style w:type="table" w:styleId="TableGrid">
    <w:name w:val="Table Grid"/>
    <w:basedOn w:val="TableNormal"/>
    <w:uiPriority w:val="39"/>
    <w:rsid w:val="0094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E15"/>
    <w:pPr>
      <w:bidi/>
      <w:spacing w:after="120"/>
      <w:jc w:val="both"/>
    </w:pPr>
    <w:rPr>
      <w:rFonts w:cs="B Lotu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E15"/>
    <w:pPr>
      <w:keepNext/>
      <w:keepLines/>
      <w:spacing w:before="360"/>
      <w:ind w:left="720"/>
      <w:outlineLvl w:val="0"/>
    </w:pPr>
    <w:rPr>
      <w:rFonts w:ascii="B Titr" w:eastAsiaTheme="majorEastAsia" w:hAnsi="B Titr" w:cs="B Titr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04A"/>
    <w:pPr>
      <w:keepNext/>
      <w:keepLines/>
      <w:spacing w:before="360"/>
      <w:ind w:left="1009"/>
      <w:outlineLvl w:val="1"/>
    </w:pPr>
    <w:rPr>
      <w:rFonts w:asciiTheme="majorHAnsi" w:eastAsiaTheme="majorEastAsia" w:hAnsiTheme="majorHAnsi" w:cs="B Traffic"/>
      <w:color w:val="000000" w:themeColor="text1"/>
      <w:sz w:val="26"/>
      <w:szCs w:val="28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11A8"/>
    <w:pPr>
      <w:keepNext/>
      <w:keepLines/>
      <w:spacing w:before="40" w:after="0"/>
      <w:ind w:left="720"/>
      <w:outlineLvl w:val="2"/>
    </w:pPr>
    <w:rPr>
      <w:rFonts w:asciiTheme="majorHAnsi" w:eastAsiaTheme="majorEastAsia" w:hAnsiTheme="majorHAnsi" w:cs="B Koodak"/>
      <w:b/>
      <w:bCs/>
      <w:color w:val="0D0D0D" w:themeColor="text1" w:themeTint="F2"/>
      <w:sz w:val="28"/>
      <w:szCs w:val="24"/>
      <w:u w:val="single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3E15"/>
    <w:rPr>
      <w:rFonts w:ascii="B Titr" w:eastAsiaTheme="majorEastAsia" w:hAnsi="B Titr" w:cs="B Titr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11A8"/>
    <w:rPr>
      <w:rFonts w:asciiTheme="majorHAnsi" w:eastAsiaTheme="majorEastAsia" w:hAnsiTheme="majorHAnsi" w:cs="B Koodak"/>
      <w:b/>
      <w:bCs/>
      <w:color w:val="0D0D0D" w:themeColor="text1" w:themeTint="F2"/>
      <w:sz w:val="28"/>
      <w:szCs w:val="24"/>
      <w:u w:val="single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84504A"/>
    <w:rPr>
      <w:rFonts w:asciiTheme="majorHAnsi" w:eastAsiaTheme="majorEastAsia" w:hAnsiTheme="majorHAnsi" w:cs="B Traffic"/>
      <w:color w:val="000000" w:themeColor="text1"/>
      <w:sz w:val="26"/>
      <w:szCs w:val="28"/>
      <w:lang w:bidi="fa-IR"/>
    </w:rPr>
  </w:style>
  <w:style w:type="paragraph" w:styleId="Title">
    <w:name w:val="Title"/>
    <w:basedOn w:val="Normal"/>
    <w:next w:val="Normal"/>
    <w:link w:val="TitleChar"/>
    <w:uiPriority w:val="10"/>
    <w:qFormat/>
    <w:rsid w:val="00E51471"/>
    <w:pPr>
      <w:spacing w:after="0" w:line="240" w:lineRule="auto"/>
      <w:contextualSpacing/>
      <w:jc w:val="center"/>
    </w:pPr>
    <w:rPr>
      <w:rFonts w:asciiTheme="majorHAnsi" w:eastAsiaTheme="majorEastAsia" w:hAnsiTheme="majorHAnsi" w:cs="B Titr"/>
      <w:spacing w:val="-10"/>
      <w:kern w:val="28"/>
      <w:sz w:val="40"/>
      <w:szCs w:val="4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E51471"/>
    <w:rPr>
      <w:rFonts w:asciiTheme="majorHAnsi" w:eastAsiaTheme="majorEastAsia" w:hAnsiTheme="majorHAnsi" w:cs="B Titr"/>
      <w:spacing w:val="-10"/>
      <w:kern w:val="28"/>
      <w:sz w:val="40"/>
      <w:szCs w:val="40"/>
      <w:lang w:bidi="fa-IR"/>
    </w:rPr>
  </w:style>
  <w:style w:type="paragraph" w:styleId="ListParagraph">
    <w:name w:val="List Paragraph"/>
    <w:basedOn w:val="Normal"/>
    <w:uiPriority w:val="34"/>
    <w:qFormat/>
    <w:rsid w:val="00A4499D"/>
    <w:pPr>
      <w:ind w:left="720"/>
      <w:contextualSpacing/>
    </w:pPr>
  </w:style>
  <w:style w:type="table" w:styleId="TableGrid">
    <w:name w:val="Table Grid"/>
    <w:basedOn w:val="TableNormal"/>
    <w:uiPriority w:val="39"/>
    <w:rsid w:val="00943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BF826-EB85-4DA8-8BB1-7A644F6ED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علی اکبر آقای حق دوست</dc:creator>
  <cp:lastModifiedBy>Belazh</cp:lastModifiedBy>
  <cp:revision>2</cp:revision>
  <dcterms:created xsi:type="dcterms:W3CDTF">2018-05-05T07:25:00Z</dcterms:created>
  <dcterms:modified xsi:type="dcterms:W3CDTF">2018-05-05T07:25:00Z</dcterms:modified>
</cp:coreProperties>
</file>